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Emergency Relocation/Termination Justification Form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Facility Name: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Facility Address: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Contact 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Contact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Resident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Room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Primary Physician (if applicable):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Guardian/Family  (if applicable):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Guardian Contact Information: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Reason for Emergency Action: 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Detail the Behavior: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Documentation and Justification: </w:t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Regulatory Basis for Emergency Action: </w:t>
      </w:r>
      <w:r w:rsidDel="00000000" w:rsidR="00000000" w:rsidRPr="00000000">
        <w:rPr>
          <w:rtl w:val="0"/>
        </w:rPr>
        <w:t xml:space="preserve">Florida Statutes allow for the relocation or termination of residency without the standard 45-day notice under certain conditions, such as when a resident's behavior poses a direct threat to the safety and well-being of the community.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Justification for Emergency Action without 45 Days’ Notice: </w:t>
      </w:r>
      <w:r w:rsidDel="00000000" w:rsidR="00000000" w:rsidRPr="00000000">
        <w:rPr>
          <w:rtl w:val="0"/>
        </w:rPr>
        <w:t xml:space="preserve">The severity and immediacy of the risk presented by____________________ actions necessitate immediate relocation to ensure the safety of all residents and staff.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Facility Representative Signature:</w:t>
        <w:br w:type="textWrapping"/>
        <w:br w:type="textWrapping"/>
        <w:t xml:space="preserve">Signature:</w:t>
        <w:br w:type="textWrapping"/>
        <w:br w:type="textWrapping"/>
        <w:t xml:space="preserve">Date: 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/>
        <w:drawing>
          <wp:inline distB="0" distT="0" distL="114300" distR="114300">
            <wp:extent cx="1828800" cy="18288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3ebx26RMcKhGjQhd3InyGb9Q9A==">CgMxLjA4AHIhMUMxTERTUHdCNldHbFlhUDFXSXhabTR1QjNLOFNGaFFi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