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SAMPLE </w:t>
      </w:r>
      <w:r w:rsidDel="00000000" w:rsidR="00000000" w:rsidRPr="00000000">
        <w:rPr>
          <w:rtl w:val="0"/>
        </w:rPr>
        <w:t xml:space="preserve">Emergency Relocation/Termination Justification Form</w:t>
        <w:br w:type="textWrapping"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br w:type="textWrapping"/>
        <w:t xml:space="preserve">Facility Name: </w:t>
      </w:r>
      <w:r w:rsidDel="00000000" w:rsidR="00000000" w:rsidRPr="00000000">
        <w:rPr>
          <w:rtl w:val="0"/>
        </w:rPr>
        <w:t xml:space="preserve">Seaside Assisted Living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Facility Address: </w:t>
      </w:r>
      <w:r w:rsidDel="00000000" w:rsidR="00000000" w:rsidRPr="00000000">
        <w:rPr>
          <w:rtl w:val="0"/>
        </w:rPr>
        <w:t xml:space="preserve">123 Coastal Way, Jacksonville, FL 32250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Contact Person: </w:t>
      </w:r>
      <w:r w:rsidDel="00000000" w:rsidR="00000000" w:rsidRPr="00000000">
        <w:rPr>
          <w:rtl w:val="0"/>
        </w:rPr>
        <w:t xml:space="preserve">Diana Green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Title: </w:t>
      </w:r>
      <w:r w:rsidDel="00000000" w:rsidR="00000000" w:rsidRPr="00000000">
        <w:rPr>
          <w:rtl w:val="0"/>
        </w:rPr>
        <w:t xml:space="preserve">Director of Resident Care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Contact Number: </w:t>
      </w:r>
      <w:r w:rsidDel="00000000" w:rsidR="00000000" w:rsidRPr="00000000">
        <w:rPr>
          <w:rtl w:val="0"/>
        </w:rPr>
        <w:t xml:space="preserve">(904) 555-0198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Email: </w:t>
      </w:r>
      <w:r w:rsidDel="00000000" w:rsidR="00000000" w:rsidRPr="00000000">
        <w:rPr>
          <w:rtl w:val="0"/>
        </w:rPr>
        <w:t xml:space="preserve">dgreen@seasideal.com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br w:type="textWrapping"/>
        <w:t xml:space="preserve">Resident Name: </w:t>
      </w:r>
      <w:r w:rsidDel="00000000" w:rsidR="00000000" w:rsidRPr="00000000">
        <w:rPr>
          <w:rtl w:val="0"/>
        </w:rPr>
        <w:t xml:space="preserve">Edward Larson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Date of Birth: </w:t>
      </w:r>
      <w:r w:rsidDel="00000000" w:rsidR="00000000" w:rsidRPr="00000000">
        <w:rPr>
          <w:rtl w:val="0"/>
        </w:rPr>
        <w:t xml:space="preserve">06/03/1939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Room Number: </w:t>
      </w:r>
      <w:r w:rsidDel="00000000" w:rsidR="00000000" w:rsidRPr="00000000">
        <w:rPr>
          <w:rtl w:val="0"/>
        </w:rPr>
        <w:t xml:space="preserve">210B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Primary Physician (if applicable): </w:t>
      </w:r>
      <w:r w:rsidDel="00000000" w:rsidR="00000000" w:rsidRPr="00000000">
        <w:rPr>
          <w:rtl w:val="0"/>
        </w:rPr>
        <w:t xml:space="preserve">Dr. Richard Nguyen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Guardian (if applicable): </w:t>
      </w:r>
      <w:r w:rsidDel="00000000" w:rsidR="00000000" w:rsidRPr="00000000">
        <w:rPr>
          <w:rtl w:val="0"/>
        </w:rPr>
        <w:t xml:space="preserve">Sarah Larson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Guardian Contact Information: </w:t>
      </w:r>
      <w:r w:rsidDel="00000000" w:rsidR="00000000" w:rsidRPr="00000000">
        <w:rPr>
          <w:rtl w:val="0"/>
        </w:rPr>
        <w:t xml:space="preserve">(904) 555-0234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Reason for Emergency Action: </w:t>
      </w:r>
      <w:r w:rsidDel="00000000" w:rsidR="00000000" w:rsidRPr="00000000">
        <w:rPr>
          <w:rtl w:val="0"/>
        </w:rPr>
        <w:t xml:space="preserve">Behavior Warranting Immediate Action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Detail the Behavior: </w:t>
      </w:r>
      <w:r w:rsidDel="00000000" w:rsidR="00000000" w:rsidRPr="00000000">
        <w:rPr>
          <w:rtl w:val="0"/>
        </w:rPr>
        <w:t xml:space="preserve">Edward has displayed increasingly aggressive behavior towards both staff and other residents over the past month, including verbal threats and two instances of physical confrontation.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Documentation and Justification: </w:t>
      </w:r>
      <w:r w:rsidDel="00000000" w:rsidR="00000000" w:rsidRPr="00000000">
        <w:rPr>
          <w:rtl w:val="0"/>
        </w:rPr>
        <w:t xml:space="preserve">On 09/10/2024, Edward became verbally aggressive towards a caregiver, escalating to a physical altercation. On 09/15/2024, he was involved in another confrontation with a fellow resident during a communal dining time, resulting in minor injuries.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Regulatory Basis for Emergency Action: </w:t>
      </w:r>
      <w:r w:rsidDel="00000000" w:rsidR="00000000" w:rsidRPr="00000000">
        <w:rPr>
          <w:rtl w:val="0"/>
        </w:rPr>
        <w:t xml:space="preserve">Florida Statutes allow for the relocation or termination of residency without the standard 45-day notice under certain conditions, such as when a resident's behavior poses a direct threat to the safety and well-being of the community.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Justification for Emergency Action without 45 Days’ Notice: </w:t>
      </w:r>
      <w:r w:rsidDel="00000000" w:rsidR="00000000" w:rsidRPr="00000000">
        <w:rPr>
          <w:rtl w:val="0"/>
        </w:rPr>
        <w:t xml:space="preserve">The severity and immediacy of the risk presented by Edward's actions necessitate immediate relocation to ensure the safety of all residents and staff.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Facility Representative Signature: </w:t>
      </w:r>
      <w:r w:rsidDel="00000000" w:rsidR="00000000" w:rsidRPr="00000000">
        <w:rPr>
          <w:rtl w:val="0"/>
        </w:rPr>
        <w:t xml:space="preserve">Name: Diana Green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Signature: </w:t>
      </w:r>
      <w:r w:rsidDel="00000000" w:rsidR="00000000" w:rsidRPr="00000000">
        <w:rPr>
          <w:rtl w:val="0"/>
        </w:rPr>
        <w:t xml:space="preserve">[Diana Green's Signature]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Date: </w:t>
      </w:r>
      <w:r w:rsidDel="00000000" w:rsidR="00000000" w:rsidRPr="00000000">
        <w:rPr>
          <w:rtl w:val="0"/>
        </w:rPr>
        <w:t xml:space="preserve">09/18/2024</w:t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/>
        <w:drawing>
          <wp:inline distB="0" distT="0" distL="114300" distR="114300">
            <wp:extent cx="1828800" cy="18288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62Ejzvp55SKMbFX1x4TxEaVDGg==">CgMxLjA4AHIhMTlwdjRFaDljdllBNlByMmxiaEg5LThILUtMUm1lc2lB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